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Załącznik nr 1- Formularz ofertowy</w:t>
      </w:r>
    </w:p>
    <w:p>
      <w:pPr>
        <w:pStyle w:val="Normal"/>
        <w:shd w:val="clear" w:color="auto" w:fill="FFFFFF"/>
        <w:spacing w:lineRule="auto" w:line="240" w:before="465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</w:t>
        <w:tab/>
        <w:tab/>
        <w:tab/>
        <w:t xml:space="preserve">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.……………………..……dnia…………………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Pieczątka wykonawcy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Nazwa (firma) ……………………………………………………………………….….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Adres oferenta …………………………………………………………………………..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Tel. ………………………………….……….Faks..……………………………………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NIP …………………………………….. REGON ……………………………………..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OFERTA</w:t>
      </w:r>
    </w:p>
    <w:p>
      <w:pPr>
        <w:pStyle w:val="NoSpacing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Oferuję wykonanie przedmiotowego zamówienia w zakresie objętym zaproszeniem do składania ofert za cenę brutto (cena zamówienia wraz z dostawą do siedziby Zamawiającego):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jc w:val="both"/>
        <w:rPr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bidi="ar-SA"/>
        </w:rPr>
      </w:pPr>
      <w:r>
        <w:rPr>
          <w:b/>
          <w:bCs/>
          <w:i/>
          <w:iCs/>
          <w:color w:val="auto"/>
          <w:kern w:val="0"/>
          <w:sz w:val="24"/>
          <w:szCs w:val="24"/>
          <w:u w:val="none"/>
          <w:lang w:val="pl-PL" w:bidi="ar-SA"/>
        </w:rPr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"/>
              <w:widowControl/>
              <w:suppressAutoHyphens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lang w:val="pl-PL" w:eastAsia="pl-PL" w:bidi="ar-SA"/>
              </w:rPr>
              <w:t>CZĘŚĆ nr 1</w:t>
            </w:r>
          </w:p>
        </w:tc>
      </w:tr>
    </w:tbl>
    <w:p>
      <w:pPr>
        <w:pStyle w:val="NoSpacing"/>
        <w:widowControl/>
        <w:suppressAutoHyphens w:val="false"/>
        <w:bidi w:val="0"/>
        <w:spacing w:lineRule="auto" w:line="240" w:before="0" w:after="0"/>
        <w:jc w:val="center"/>
        <w:rPr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bidi="ar-SA"/>
        </w:rPr>
      </w:pPr>
      <w:r>
        <w:rPr>
          <w:b/>
          <w:bCs/>
          <w:i/>
          <w:iCs/>
          <w:color w:val="auto"/>
          <w:kern w:val="0"/>
          <w:sz w:val="24"/>
          <w:szCs w:val="24"/>
          <w:u w:val="none"/>
          <w:lang w:val="pl-PL" w:bidi="ar-SA"/>
        </w:rPr>
      </w:r>
    </w:p>
    <w:tbl>
      <w:tblPr>
        <w:tblW w:w="10380" w:type="dxa"/>
        <w:jc w:val="left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7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497"/>
        <w:gridCol w:w="1948"/>
        <w:gridCol w:w="617"/>
        <w:gridCol w:w="1020"/>
        <w:gridCol w:w="1185"/>
        <w:gridCol w:w="1429"/>
        <w:gridCol w:w="1243"/>
        <w:gridCol w:w="1200"/>
        <w:gridCol w:w="1240"/>
      </w:tblGrid>
      <w:tr>
        <w:trPr>
          <w:trHeight w:val="1216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pl-PL" w:eastAsia="pl-PL" w:bidi="ar-SA"/>
              </w:rPr>
              <w:t>Typ / Marka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1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zakresu podstawowego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podstawowej)</w:t>
            </w:r>
          </w:p>
        </w:tc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Wartość za zakres podstawowy 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maksymalnego zakresu opcjonalnego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opcjonalnej)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Wartość  za zakres opcjonalny</w:t>
            </w:r>
          </w:p>
        </w:tc>
      </w:tr>
      <w:tr>
        <w:trPr>
          <w:trHeight w:val="189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7=5x6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9=5x8</w:t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Baterie CR123A 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Baterie 9V 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Baterie AA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Baterie AAA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Baterie R14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Baterie R20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Akumulator AA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Akumulator AAA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2207_21799830301"/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Akumulato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>r  Eneloop</w:t>
            </w:r>
          </w:p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>Pro 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A(LR6) 2500 mAh</w:t>
            </w:r>
            <w:bookmarkEnd w:id="0"/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bookmarkStart w:id="1" w:name="__DdeLink__4732_4195348699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  <w:bookmarkEnd w:id="1"/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Akumulato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>r  9 V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val="pl-PL" w:eastAsia="pl-PL" w:bidi="ar-SA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l-PL"/>
              </w:rPr>
              <w:t xml:space="preserve">Ładowarka do akumulatorów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 xml:space="preserve"> Eneloop Pro 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 xml:space="preserve">A(LR6) 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/>
              <w:suppressAutoHyphens w:val="false"/>
              <w:bidi w:val="0"/>
              <w:snapToGrid w:val="false"/>
              <w:spacing w:lineRule="auto" w:line="276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/>
              <w:suppressAutoHyphens w:val="false"/>
              <w:bidi w:val="0"/>
              <w:snapToGrid w:val="false"/>
              <w:spacing w:lineRule="auto" w:line="276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Bateria CR 2032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Bateria CR 2025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2" w:name="__DdeLink__2207_2179983030"/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>Bateria CR 20</w:t>
            </w:r>
            <w:bookmarkEnd w:id="2"/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>16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eastAsia="pl-PL"/>
              </w:rPr>
              <w:t>Bateria SR 44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napToGrid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podstawowego):…………………………………………………….…..……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opcjonalnego):……………………………………………………….……….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 xml:space="preserve">Łączna wartość zakresu podstawowego i opcjonalnego………………………………………………. </w:t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"/>
              <w:widowControl/>
              <w:suppressAutoHyphens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lang w:val="pl-PL" w:eastAsia="pl-PL" w:bidi="ar-SA"/>
              </w:rPr>
              <w:t>CZĘŚĆ nr 2</w:t>
            </w:r>
          </w:p>
        </w:tc>
      </w:tr>
    </w:tbl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tbl>
      <w:tblPr>
        <w:tblW w:w="10380" w:type="dxa"/>
        <w:jc w:val="left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7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497"/>
        <w:gridCol w:w="1948"/>
        <w:gridCol w:w="617"/>
        <w:gridCol w:w="1020"/>
        <w:gridCol w:w="1183"/>
        <w:gridCol w:w="1425"/>
        <w:gridCol w:w="1245"/>
        <w:gridCol w:w="1200"/>
        <w:gridCol w:w="1244"/>
      </w:tblGrid>
      <w:tr>
        <w:trPr>
          <w:trHeight w:val="1216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pl-PL" w:eastAsia="pl-PL" w:bidi="ar-SA"/>
              </w:rPr>
              <w:t>Typ / Marka</w:t>
            </w:r>
          </w:p>
        </w:tc>
        <w:tc>
          <w:tcPr>
            <w:tcW w:w="1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zakresu podstawowego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podstawowej)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Wartość za zakres podstawowy 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maksymalnego zakresu opcjonalnego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opcjonalnej)</w:t>
            </w:r>
          </w:p>
        </w:tc>
        <w:tc>
          <w:tcPr>
            <w:tcW w:w="1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Wartość  za zakres opcjonalny</w:t>
            </w:r>
          </w:p>
        </w:tc>
      </w:tr>
      <w:tr>
        <w:trPr>
          <w:trHeight w:val="189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7=5x6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9=5x8</w:t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left="737" w:right="113" w:hanging="28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1"/>
                <w:szCs w:val="21"/>
                <w:u w:val="none"/>
                <w:em w:val="none"/>
                <w:lang w:eastAsia="pl-PL"/>
              </w:rPr>
              <w:t>Akumulator żelowy 12V, 200ah</w:t>
            </w:r>
          </w:p>
        </w:tc>
        <w:tc>
          <w:tcPr>
            <w:tcW w:w="6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suppressAutoHyphens w:val="false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</w:tbl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podstawowego):…………………………………………………….…..……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opcjonalnego):……………………………………………………….……….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color w:val="auto"/>
          <w:kern w:val="0"/>
          <w:sz w:val="22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kern w:val="0"/>
          <w:sz w:val="22"/>
          <w:szCs w:val="22"/>
          <w:u w:val="none"/>
          <w:lang w:val="pl-PL" w:eastAsia="pl-PL" w:bidi="ar-SA"/>
        </w:rPr>
        <w:t xml:space="preserve">Łączna wartość zakresu podstawowego i opcjonalnego………………………………………………. </w:t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iCs/>
          <w:u w:val="none"/>
        </w:rPr>
      </w:pPr>
      <w:r>
        <w:rPr>
          <w:iCs/>
          <w:u w:val="none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"/>
              <w:widowControl/>
              <w:suppressAutoHyphens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lang w:val="pl-PL" w:eastAsia="pl-PL" w:bidi="ar-SA"/>
              </w:rPr>
              <w:t>CZĘŚĆ nr 3</w:t>
            </w:r>
          </w:p>
        </w:tc>
      </w:tr>
    </w:tbl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tbl>
      <w:tblPr>
        <w:tblW w:w="10380" w:type="dxa"/>
        <w:jc w:val="left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7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497"/>
        <w:gridCol w:w="2053"/>
        <w:gridCol w:w="570"/>
        <w:gridCol w:w="1020"/>
        <w:gridCol w:w="1126"/>
        <w:gridCol w:w="1425"/>
        <w:gridCol w:w="1245"/>
        <w:gridCol w:w="1200"/>
        <w:gridCol w:w="1243"/>
      </w:tblGrid>
      <w:tr>
        <w:trPr>
          <w:trHeight w:val="1216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pl-PL" w:eastAsia="pl-PL" w:bidi="ar-SA"/>
              </w:rPr>
              <w:t>Typ / Marka</w:t>
            </w:r>
          </w:p>
        </w:tc>
        <w:tc>
          <w:tcPr>
            <w:tcW w:w="1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zakresu podstawowego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podstawowej)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Wartość za zakres podstawowy 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maksymalnego zakresu opcjonalnego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opcjonalnej)</w:t>
            </w:r>
          </w:p>
        </w:tc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Wartość  za zakres opcjonalny</w:t>
            </w:r>
          </w:p>
        </w:tc>
      </w:tr>
      <w:tr>
        <w:trPr>
          <w:trHeight w:val="189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7=5x6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9=5x8</w:t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4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 xml:space="preserve">Bateria ER34615, </w:t>
            </w:r>
          </w:p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 xml:space="preserve">D 3.6V, bateria  Li-SOCl2,  Pojemność: 19 Ah, (wymiary baterii R20) </w:t>
            </w:r>
          </w:p>
        </w:tc>
        <w:tc>
          <w:tcPr>
            <w:tcW w:w="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/>
              <w:suppressAutoHyphens w:val="false"/>
              <w:bidi w:val="0"/>
              <w:snapToGrid w:val="false"/>
              <w:spacing w:lineRule="auto" w:line="276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/>
              <w:suppressAutoHyphens w:val="false"/>
              <w:bidi w:val="0"/>
              <w:snapToGrid w:val="false"/>
              <w:spacing w:lineRule="auto" w:line="276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</w:tbl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podstawowego):…………………………………………………….…..……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opcjonalnego):……………………………………………………….……….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color w:val="auto"/>
          <w:kern w:val="0"/>
          <w:sz w:val="22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kern w:val="0"/>
          <w:sz w:val="22"/>
          <w:szCs w:val="22"/>
          <w:u w:val="none"/>
          <w:lang w:val="pl-PL" w:eastAsia="pl-PL" w:bidi="ar-SA"/>
        </w:rPr>
        <w:t xml:space="preserve">Łączna wartość zakresu podstawowego i opcjonalnego………………………………………………. </w:t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rmal"/>
        <w:shd w:val="clear" w:color="auto" w:fill="FFFFFF"/>
        <w:spacing w:lineRule="auto" w:line="240" w:beforeAutospacing="1" w:after="0"/>
        <w:ind w:left="72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  <w:br/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"/>
              <w:widowControl/>
              <w:suppressAutoHyphens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lang w:val="pl-PL" w:eastAsia="pl-PL" w:bidi="ar-SA"/>
              </w:rPr>
              <w:t>CZĘŚĆ nr 4</w:t>
            </w:r>
          </w:p>
        </w:tc>
      </w:tr>
    </w:tbl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tbl>
      <w:tblPr>
        <w:tblW w:w="10380" w:type="dxa"/>
        <w:jc w:val="left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7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497"/>
        <w:gridCol w:w="2053"/>
        <w:gridCol w:w="570"/>
        <w:gridCol w:w="1020"/>
        <w:gridCol w:w="1126"/>
        <w:gridCol w:w="1425"/>
        <w:gridCol w:w="1245"/>
        <w:gridCol w:w="1200"/>
        <w:gridCol w:w="1243"/>
      </w:tblGrid>
      <w:tr>
        <w:trPr>
          <w:trHeight w:val="1216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pl-PL" w:eastAsia="pl-PL" w:bidi="ar-SA"/>
              </w:rPr>
              <w:t>Typ / Marka</w:t>
            </w:r>
          </w:p>
        </w:tc>
        <w:tc>
          <w:tcPr>
            <w:tcW w:w="1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zakresu podstawowego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podstawowej)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Wartość za zakres podstawowy 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maksymalnego zakresu opcjonalnego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opcjonalnej)</w:t>
            </w:r>
          </w:p>
        </w:tc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Wartość  za zakres opcjonalny</w:t>
            </w:r>
          </w:p>
        </w:tc>
      </w:tr>
      <w:tr>
        <w:trPr>
          <w:trHeight w:val="189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7=5x6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9=5x8</w:t>
            </w:r>
          </w:p>
        </w:tc>
      </w:tr>
      <w:tr>
        <w:trPr>
          <w:trHeight w:val="85" w:hRule="atLeast"/>
        </w:trPr>
        <w:tc>
          <w:tcPr>
            <w:tcW w:w="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5"/>
              </w:numPr>
              <w:bidi w:val="0"/>
              <w:spacing w:lineRule="auto" w:line="240" w:before="0" w:after="0"/>
              <w:ind w:left="737" w:right="170" w:hanging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0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ListParagraph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em w:val="none"/>
                <w:lang w:val="pl-PL" w:eastAsia="pl-PL" w:bidi="ar-SA"/>
              </w:rPr>
              <w:t>Akumulator 3ogniwowy do latarki Polystinger, 19 Ah, 3.6V,</w:t>
            </w:r>
          </w:p>
        </w:tc>
        <w:tc>
          <w:tcPr>
            <w:tcW w:w="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  <w:lang w:eastAsia="pl-PL"/>
              </w:rPr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/>
              <w:suppressAutoHyphens w:val="false"/>
              <w:bidi w:val="0"/>
              <w:snapToGrid w:val="false"/>
              <w:spacing w:lineRule="auto" w:line="276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2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  <w:tc>
          <w:tcPr>
            <w:tcW w:w="12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outset" w:sz="6" w:space="0" w:color="00000A"/>
              <w:insideH w:val="double" w:sz="2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ListParagraph"/>
              <w:widowControl/>
              <w:suppressAutoHyphens w:val="false"/>
              <w:bidi w:val="0"/>
              <w:snapToGrid w:val="false"/>
              <w:spacing w:lineRule="auto" w:line="276" w:before="0" w:after="0"/>
              <w:ind w:lef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2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  <w:insideH w:val="double" w:sz="2" w:space="0" w:color="00000A"/>
              <w:insideV w:val="double" w:sz="2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pl-PL"/>
              </w:rPr>
            </w:r>
          </w:p>
        </w:tc>
      </w:tr>
    </w:tbl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podstawowego):…………………………………………………….…..……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ind w:left="567" w:hanging="0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opcjonalnego):……………………………………………………….……….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</w:r>
    </w:p>
    <w:p>
      <w:pPr>
        <w:pStyle w:val="NoSpacing"/>
        <w:widowControl/>
        <w:shd w:val="clear" w:color="auto" w:fill="FFFFFF"/>
        <w:suppressAutoHyphens w:val="false"/>
        <w:bidi w:val="0"/>
        <w:spacing w:lineRule="auto" w:line="240" w:before="0" w:after="0"/>
        <w:ind w:left="567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auto"/>
          <w:kern w:val="0"/>
          <w:sz w:val="22"/>
          <w:szCs w:val="22"/>
          <w:u w:val="none"/>
          <w:lang w:val="pl-PL" w:eastAsia="pl-PL" w:bidi="ar-SA"/>
        </w:rPr>
        <w:t xml:space="preserve">Łączna wartość zakresu podstawowego i opcjonalnego………………………………………………. </w:t>
      </w:r>
    </w:p>
    <w:p>
      <w:pPr>
        <w:pStyle w:val="Normal"/>
        <w:shd w:val="clear" w:color="auto" w:fill="FFFFFF"/>
        <w:spacing w:lineRule="auto" w:line="240" w:beforeAutospacing="1" w:after="0"/>
        <w:ind w:left="720" w:hanging="0"/>
        <w:jc w:val="both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hd w:val="clear" w:color="auto" w:fill="FFFFFF"/>
        <w:spacing w:lineRule="auto" w:line="240" w:beforeAutospacing="1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  <w:t>Oświadczam/y, że:</w:t>
      </w:r>
    </w:p>
    <w:p>
      <w:pPr>
        <w:pStyle w:val="Normal"/>
        <w:shd w:val="clear" w:color="auto" w:fill="FFFFFF"/>
        <w:spacing w:lineRule="auto" w:line="240" w:beforeAutospacing="1" w:after="0"/>
        <w:ind w:left="720" w:hanging="0"/>
        <w:jc w:val="both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Autospacing="1" w:after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dostawa podstawowa i opcjonalna zostanie zrealizowana w terminie </w:t>
      </w:r>
      <w:r>
        <w:rPr>
          <w:rFonts w:eastAsia="Times New Roman" w:cs="Times New Roman" w:ascii="Times New Roman" w:hAnsi="Times New Roman"/>
          <w:spacing w:val="5"/>
          <w:sz w:val="24"/>
          <w:szCs w:val="24"/>
          <w:lang w:eastAsia="pl-PL"/>
        </w:rPr>
        <w:t>w terminie do 7 dni od daty złożenia zamówienia.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udzielam/y gwarancji na przedmiot zamówienia na okres …. miesięcy. Bieg terminu gwarancji rozpoczyna się w dniu następnym, licząc od dnia  bezusterkowego odbioru przedmiotów umowy.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uważam/y się za związany/związani niniejszą ofertą przez okres 30 dni od terminu składania ofert,,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>
        <w:rPr>
          <w:rFonts w:cs="Times New Roman" w:ascii="Times New Roman" w:hAnsi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cs="Times New Roman" w:ascii="Times New Roman" w:hAnsi="Times New Roman"/>
          <w:vertAlign w:val="superscript"/>
        </w:rPr>
        <w:t>*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wyrażam/y zgodę na udostępnienie danych osobowych zawartych w formularzu ofertowym innym podmiotom lub osobom fizycznym na podstawie ustawy z dnia 6 września 2001r. o dostępnie do informacji publicznej,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przypadku udzielenia zamówienia wyrażam/y zgodę </w:t>
      </w:r>
      <w:r>
        <w:rPr>
          <w:rFonts w:eastAsia="Times New Roman" w:cs="Times New Roman" w:ascii="Times New Roman" w:hAnsi="Times New Roman"/>
          <w:color w:val="000000"/>
          <w:lang w:eastAsia="pl-PL"/>
        </w:rPr>
        <w:t>na umieszczenie na stronie internetowej informacji o wyborze oferty zawierającej</w:t>
      </w:r>
      <w:bookmarkStart w:id="3" w:name="_GoBack"/>
      <w:bookmarkEnd w:id="3"/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 dane firmy.</w:t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Miejsce, data, podpis osoby uprawnionej do 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>reprezentowania Wykonawcy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9070" w:leader="dot"/>
        </w:tabs>
        <w:spacing w:lineRule="auto" w:line="264" w:before="60" w:after="160"/>
        <w:ind w:left="454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6dc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 w:cs="Symbol"/>
    </w:rPr>
  </w:style>
  <w:style w:type="character" w:styleId="ListLabel3">
    <w:name w:val="ListLabel 3"/>
    <w:qFormat/>
    <w:rPr>
      <w:rFonts w:ascii="Times New Roman" w:hAnsi="Times New Roman" w:cs="Symbol"/>
    </w:rPr>
  </w:style>
  <w:style w:type="character" w:styleId="Znakinumeracji">
    <w:name w:val="Znaki numeracji"/>
    <w:qFormat/>
    <w:rPr/>
  </w:style>
  <w:style w:type="character" w:styleId="ListLabel4">
    <w:name w:val="ListLabel 4"/>
    <w:qFormat/>
    <w:rPr>
      <w:rFonts w:ascii="Times New Roman" w:hAnsi="Times New Roman" w:cs="Symbol"/>
    </w:rPr>
  </w:style>
  <w:style w:type="character" w:styleId="ListLabel5">
    <w:name w:val="ListLabel 5"/>
    <w:qFormat/>
    <w:rPr>
      <w:rFonts w:ascii="Times New Roman" w:hAnsi="Times New Roman" w:cs="Symbol"/>
    </w:rPr>
  </w:style>
  <w:style w:type="character" w:styleId="ListLabel6">
    <w:name w:val="ListLabel 6"/>
    <w:qFormat/>
    <w:rPr>
      <w:rFonts w:ascii="Times New Roman" w:hAnsi="Times New Roman" w:cs="Symbol"/>
    </w:rPr>
  </w:style>
  <w:style w:type="character" w:styleId="ListLabel7">
    <w:name w:val="ListLabel 7"/>
    <w:qFormat/>
    <w:rPr>
      <w:rFonts w:ascii="Times New Roman" w:hAnsi="Times New Roman" w:cs="Symbol"/>
    </w:rPr>
  </w:style>
  <w:style w:type="character" w:styleId="ListLabel8">
    <w:name w:val="ListLabel 8"/>
    <w:qFormat/>
    <w:rPr>
      <w:rFonts w:ascii="Times New Roman" w:hAnsi="Times New Roman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e5ca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e5c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146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6d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066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89DF-A1CB-4365-90B0-46EEB1EC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LibreOffice/6.1.2.1$Windows_X86_64 LibreOffice_project/65905a128db06ba48db947242809d14d3f9a93fe</Application>
  <Pages>4</Pages>
  <Words>720</Words>
  <Characters>4654</Characters>
  <CharactersWithSpaces>5235</CharactersWithSpaces>
  <Paragraphs>210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2018-09-04T13:19:00Z</dcterms:created>
  <dc:creator>Skraba Rafał</dc:creator>
  <dc:description/>
  <dc:language>pl-PL</dc:language>
  <cp:lastModifiedBy/>
  <cp:lastPrinted>2018-11-22T09:38:50Z</cp:lastPrinted>
  <dcterms:modified xsi:type="dcterms:W3CDTF">2018-11-22T09:39:24Z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